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13CE6">
      <w:pPr>
        <w:jc w:val="center"/>
        <w:rPr>
          <w:rFonts w:hint="eastAsia"/>
          <w:b/>
          <w:sz w:val="30"/>
          <w:szCs w:val="30"/>
        </w:rPr>
      </w:pPr>
      <w:r>
        <w:rPr>
          <w:rFonts w:hint="eastAsia"/>
          <w:b/>
          <w:sz w:val="30"/>
          <w:szCs w:val="30"/>
          <w:lang w:val="en-US" w:eastAsia="zh-CN"/>
        </w:rPr>
        <w:t>一批康复科设备的采购</w:t>
      </w:r>
      <w:r>
        <w:rPr>
          <w:rFonts w:hint="eastAsia"/>
          <w:b/>
          <w:sz w:val="30"/>
          <w:szCs w:val="30"/>
        </w:rPr>
        <w:t>需求</w:t>
      </w:r>
    </w:p>
    <w:p w14:paraId="0FF52AAF">
      <w:pPr>
        <w:numPr>
          <w:ilvl w:val="0"/>
          <w:numId w:val="1"/>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设备名称、数量及预算：</w:t>
      </w:r>
    </w:p>
    <w:p w14:paraId="3FCD783D">
      <w:pPr>
        <w:numPr>
          <w:ilvl w:val="0"/>
          <w:numId w:val="2"/>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肢体康复工作站（上下肢）（功率踏车）2台，单台预算7万元，总价14万元</w:t>
      </w:r>
    </w:p>
    <w:p w14:paraId="6CFAEDDD">
      <w:pPr>
        <w:numPr>
          <w:ilvl w:val="0"/>
          <w:numId w:val="2"/>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电动起立床（站立康复训练器）1台，单台预算3.2万元</w:t>
      </w:r>
    </w:p>
    <w:p w14:paraId="376397A3">
      <w:pPr>
        <w:numPr>
          <w:ilvl w:val="0"/>
          <w:numId w:val="2"/>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下肢持续被动活动仪1台，单台预算2.6万元</w:t>
      </w:r>
    </w:p>
    <w:p w14:paraId="665165AB">
      <w:pPr>
        <w:numPr>
          <w:numId w:val="0"/>
        </w:numPr>
        <w:rPr>
          <w:rFonts w:hint="default"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总预算19.8万元。</w:t>
      </w:r>
    </w:p>
    <w:p w14:paraId="0FF80A91">
      <w:pPr>
        <w:numPr>
          <w:ilvl w:val="0"/>
          <w:numId w:val="1"/>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★资质要求：</w:t>
      </w:r>
    </w:p>
    <w:p w14:paraId="54CD6179">
      <w:pPr>
        <w:numPr>
          <w:ilvl w:val="0"/>
          <w:numId w:val="0"/>
        </w:numPr>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供应商为生产厂商的须提供《医疗器械生产许可证》（或《医疗器械生产备案凭证》）和《医疗器械经营许可证》（或《医疗器械经营备案凭证》）；供应商为代理商的须提供《医疗器械经营许可证》或《医疗器械经营备案凭证》。所投产品须按照《医疗器械注册管理办法》的规定，提供医疗器械备案证明材料或医疗器械注册证扫描件。</w:t>
      </w:r>
    </w:p>
    <w:p w14:paraId="06C0A0D9">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三、报价要求</w:t>
      </w:r>
    </w:p>
    <w:p w14:paraId="22CFE09C">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 投标报价以人民币填列。</w:t>
      </w:r>
    </w:p>
    <w:p w14:paraId="508D8ADF">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 投标人的报价应包括：设备主机及附件货款、运输费、运输保险费、装卸费、安装调试费及其他应有的费用。</w:t>
      </w:r>
    </w:p>
    <w:p w14:paraId="6E671C8C">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 验收及相关费用由投标人负责。</w:t>
      </w:r>
    </w:p>
    <w:p w14:paraId="5925C39A">
      <w:pPr>
        <w:numPr>
          <w:ilvl w:val="0"/>
          <w:numId w:val="0"/>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四、技</w:t>
      </w:r>
      <w:r>
        <w:rPr>
          <w:rFonts w:hint="eastAsia" w:asciiTheme="minorEastAsia" w:hAnsiTheme="minorEastAsia" w:eastAsiaTheme="minorEastAsia" w:cstheme="minorEastAsia"/>
          <w:sz w:val="24"/>
          <w:szCs w:val="24"/>
        </w:rPr>
        <w:t>术</w:t>
      </w:r>
      <w:r>
        <w:rPr>
          <w:rFonts w:hint="eastAsia" w:asciiTheme="minorEastAsia" w:hAnsiTheme="minorEastAsia" w:eastAsiaTheme="minorEastAsia" w:cstheme="minorEastAsia"/>
          <w:sz w:val="24"/>
          <w:szCs w:val="24"/>
          <w:lang w:val="en-US" w:eastAsia="zh-CN"/>
        </w:rPr>
        <w:t>要求</w:t>
      </w:r>
    </w:p>
    <w:p w14:paraId="6BD4E34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（一）肢体康复工作站（上下肢）</w:t>
      </w:r>
    </w:p>
    <w:p w14:paraId="7638F72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技术参数要求：</w:t>
      </w:r>
    </w:p>
    <w:p w14:paraId="20D17F67">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1、电源：AC 220V±22V；50Hz±1Hz</w:t>
      </w:r>
    </w:p>
    <w:p w14:paraId="02FBFCB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2、输入功率：200VA；</w:t>
      </w:r>
    </w:p>
    <w:p w14:paraId="06D34F6F">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3、旋转速度：1-60rpm，步进1rpm；转速允许误差±10%或±3rpm，二者取大值；</w:t>
      </w:r>
    </w:p>
    <w:p w14:paraId="6EDAFD9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4、转速变化率不大于0.5r/s²；</w:t>
      </w:r>
    </w:p>
    <w:p w14:paraId="1255812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5、训练手柄高度连续可调：0～235mm，允差</w:t>
      </w:r>
      <w:r>
        <w:rPr>
          <w:rFonts w:hint="eastAsia" w:asciiTheme="minorEastAsia" w:hAnsiTheme="minorEastAsia" w:eastAsiaTheme="minorEastAsia" w:cstheme="minorEastAsia"/>
          <w:kern w:val="2"/>
          <w:sz w:val="24"/>
          <w:szCs w:val="24"/>
          <w:lang w:val="zh-CN" w:eastAsia="zh-CN" w:bidi="ar-SA"/>
        </w:rPr>
        <w:t>±</w:t>
      </w:r>
      <w:r>
        <w:rPr>
          <w:rFonts w:hint="eastAsia" w:asciiTheme="minorEastAsia" w:hAnsiTheme="minorEastAsia" w:eastAsiaTheme="minorEastAsia" w:cstheme="minorEastAsia"/>
          <w:kern w:val="2"/>
          <w:sz w:val="24"/>
          <w:szCs w:val="24"/>
          <w:lang w:val="en-US" w:eastAsia="zh-CN" w:bidi="ar-SA"/>
        </w:rPr>
        <w:t>10%；</w:t>
      </w:r>
    </w:p>
    <w:p w14:paraId="093220D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6、训练手柄前后连续可调：0～120mm，允差</w:t>
      </w:r>
      <w:r>
        <w:rPr>
          <w:rFonts w:hint="eastAsia" w:asciiTheme="minorEastAsia" w:hAnsiTheme="minorEastAsia" w:eastAsiaTheme="minorEastAsia" w:cstheme="minorEastAsia"/>
          <w:kern w:val="2"/>
          <w:sz w:val="24"/>
          <w:szCs w:val="24"/>
          <w:lang w:val="zh-CN" w:eastAsia="zh-CN" w:bidi="ar-SA"/>
        </w:rPr>
        <w:t>±</w:t>
      </w:r>
      <w:r>
        <w:rPr>
          <w:rFonts w:hint="eastAsia" w:asciiTheme="minorEastAsia" w:hAnsiTheme="minorEastAsia" w:eastAsiaTheme="minorEastAsia" w:cstheme="minorEastAsia"/>
          <w:kern w:val="2"/>
          <w:sz w:val="24"/>
          <w:szCs w:val="24"/>
          <w:lang w:val="en-US" w:eastAsia="zh-CN" w:bidi="ar-SA"/>
        </w:rPr>
        <w:t>10%；</w:t>
      </w:r>
    </w:p>
    <w:p w14:paraId="0FBE192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7、训练时间设定0-60min，步距1min，允差±5s；</w:t>
      </w:r>
    </w:p>
    <w:p w14:paraId="3C980EF6">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8、训练速度1-60级可调；</w:t>
      </w:r>
    </w:p>
    <w:p w14:paraId="2721134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9、训练阻力1-20级可调。</w:t>
      </w:r>
    </w:p>
    <w:p w14:paraId="21401FE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★10、小腿支架长度可调：根据患者的小腿长，选择最佳固定位置，有效防止膝关节外倾；</w:t>
      </w:r>
    </w:p>
    <w:p w14:paraId="1C33FCE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主要功能要求：</w:t>
      </w:r>
    </w:p>
    <w:p w14:paraId="69B8A2F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1、主被动训练模式：主动训练、被动训练、主被动训练；</w:t>
      </w:r>
    </w:p>
    <w:p w14:paraId="006B485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2、上下肢训练模式：单上肢训练、单下肢训练、上下肢独立训练；</w:t>
      </w:r>
    </w:p>
    <w:p w14:paraId="58A9713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2、Android系统，上、下肢同步训练、独立训练；</w:t>
      </w:r>
    </w:p>
    <w:p w14:paraId="38CCC63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3、本机训练数据自动存储、一键打印；</w:t>
      </w:r>
    </w:p>
    <w:p w14:paraId="472A47B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4、操控方式：≥10寸彩色触控大屏，屏幕360°可旋转。</w:t>
      </w:r>
    </w:p>
    <w:p w14:paraId="30CCFA2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5、本机训练数据自动存储、一键打印；</w:t>
      </w:r>
    </w:p>
    <w:p w14:paraId="3039BEC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★6、具有训练时间、运动方向、训练模式、训练处方、主动运动阻力、痉挛保护等级等设定功能；</w:t>
      </w:r>
    </w:p>
    <w:p w14:paraId="4A4C6A09">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7、左、右肢体平衡检测；在训练过程中提供肌力对称性信息，通过训练界面互动游戏倾斜度提示显示，以及实时显示两侧肢体运动百分比；</w:t>
      </w:r>
    </w:p>
    <w:p w14:paraId="7FD50D0F">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★8、运动方向可调：有正、反两种运动方向，在训练过程中可以改变方向；</w:t>
      </w:r>
    </w:p>
    <w:p w14:paraId="1D6C3CF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9、转向时间可设置：1～20分钟，正常训练过程中在设定转向时间到后改变运动方向；</w:t>
      </w:r>
    </w:p>
    <w:p w14:paraId="43D0142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10、具备多种3D动画情景模拟；</w:t>
      </w:r>
    </w:p>
    <w:p w14:paraId="12CCC63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11、支持医师PC端给患者建档，数据实现：U盘驱动、WiFi传输、网络传输三种模式；</w:t>
      </w:r>
    </w:p>
    <w:p w14:paraId="567F3E0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12、提供多种训练轻音乐伴奏；</w:t>
      </w:r>
    </w:p>
    <w:p w14:paraId="4ACF372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13、痉挛自动检测，自动释放；</w:t>
      </w:r>
    </w:p>
    <w:p w14:paraId="6C98ED9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14、痉挛灵敏度：敏感、标准、不敏感模式，痉挛保护应在（延迟时间+2s）内被激活；</w:t>
      </w:r>
    </w:p>
    <w:p w14:paraId="749C917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15、痉挛后方向可调：可调节痉挛后旋转方向与原方向相反；</w:t>
      </w:r>
    </w:p>
    <w:p w14:paraId="4AFDFB6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16、痉挛保护激活时伴有声音提示信号，该信号持续到手动将其关闭；</w:t>
      </w:r>
    </w:p>
    <w:p w14:paraId="2E696B56">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★17、提供多种适应症标准化训练模式、便捷个性设置训练模式；</w:t>
      </w:r>
    </w:p>
    <w:p w14:paraId="7F06569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18、</w:t>
      </w:r>
      <w:r>
        <w:rPr>
          <w:rFonts w:hint="eastAsia" w:asciiTheme="minorEastAsia" w:hAnsiTheme="minorEastAsia" w:eastAsiaTheme="minorEastAsia" w:cstheme="minorEastAsia"/>
          <w:kern w:val="2"/>
          <w:sz w:val="24"/>
          <w:szCs w:val="24"/>
          <w:lang w:val="en-US" w:eastAsia="zh-CN" w:bidi="ar-SA"/>
        </w:rPr>
        <w:t>训练结果分析：训练结束后，系统自动分析出总训练时间、训练里程、功率、能量消耗等数据；</w:t>
      </w:r>
    </w:p>
    <w:p w14:paraId="49B6503F">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19、</w:t>
      </w:r>
      <w:r>
        <w:rPr>
          <w:rFonts w:hint="eastAsia" w:asciiTheme="minorEastAsia" w:hAnsiTheme="minorEastAsia" w:eastAsiaTheme="minorEastAsia" w:cstheme="minorEastAsia"/>
          <w:kern w:val="2"/>
          <w:sz w:val="24"/>
          <w:szCs w:val="24"/>
          <w:lang w:val="en-US" w:eastAsia="zh-CN" w:bidi="ar-SA"/>
        </w:rPr>
        <w:t>支持当前训练数据查看、历史训练数据查看；曲线分析、柱状图分析；</w:t>
      </w:r>
    </w:p>
    <w:p w14:paraId="3179802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20、支持PC端数据无线传输到单机自动排队，无需医师在单机上设置；</w:t>
      </w:r>
    </w:p>
    <w:p w14:paraId="41FF047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21、支持单机数据无线传输到PC端，自动累计数据，无需医师拷贝数据；</w:t>
      </w:r>
    </w:p>
    <w:p w14:paraId="75BA0C57">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22、支持单机训练数据查看、打印；</w:t>
      </w:r>
    </w:p>
    <w:p w14:paraId="579723E5">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23、支持PC端训练数据查看、分析、打印、下载；</w:t>
      </w:r>
    </w:p>
    <w:p w14:paraId="542093F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24、可实现单机系统升级；</w:t>
      </w:r>
    </w:p>
    <w:p w14:paraId="5AD71DD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25、为特殊患者提供左、右肢护具，可快捷互换;</w:t>
      </w:r>
    </w:p>
    <w:p w14:paraId="26ACFD5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26、可连接情景互动平台、实现多台竞技比赛；</w:t>
      </w:r>
    </w:p>
    <w:p w14:paraId="74BE81A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27、配置轮椅固定锁紧装置。</w:t>
      </w:r>
    </w:p>
    <w:p w14:paraId="2BA7653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★28、具有应急安全保护开关。</w:t>
      </w:r>
    </w:p>
    <w:p w14:paraId="5F55DCC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p>
    <w:p w14:paraId="4CA8FE2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（二）电动起立床（站立康复训练器）</w:t>
      </w:r>
    </w:p>
    <w:p w14:paraId="57C1AFCC">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技术参数要求</w:t>
      </w:r>
    </w:p>
    <w:p w14:paraId="44B3FD87">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1、整机尺寸：长≥22</w:t>
      </w:r>
      <w:r>
        <w:rPr>
          <w:rFonts w:hint="eastAsia" w:asciiTheme="minorEastAsia" w:hAnsiTheme="minorEastAsia" w:cstheme="minorEastAsia"/>
          <w:kern w:val="2"/>
          <w:sz w:val="24"/>
          <w:szCs w:val="24"/>
          <w:lang w:val="en-US" w:eastAsia="zh-CN" w:bidi="ar-SA"/>
        </w:rPr>
        <w:t>000mm，</w:t>
      </w:r>
      <w:r>
        <w:rPr>
          <w:rFonts w:hint="eastAsia" w:asciiTheme="minorEastAsia" w:hAnsiTheme="minorEastAsia" w:eastAsiaTheme="minorEastAsia" w:cstheme="minorEastAsia"/>
          <w:kern w:val="2"/>
          <w:sz w:val="24"/>
          <w:szCs w:val="24"/>
          <w:lang w:val="en-US" w:eastAsia="zh-CN" w:bidi="ar-SA"/>
        </w:rPr>
        <w:t>宽≥10</w:t>
      </w:r>
      <w:r>
        <w:rPr>
          <w:rFonts w:hint="eastAsia" w:asciiTheme="minorEastAsia" w:hAnsiTheme="minorEastAsia" w:cstheme="minorEastAsia"/>
          <w:kern w:val="2"/>
          <w:sz w:val="24"/>
          <w:szCs w:val="24"/>
          <w:lang w:val="en-US" w:eastAsia="zh-CN" w:bidi="ar-SA"/>
        </w:rPr>
        <w:t>00</w:t>
      </w:r>
      <w:r>
        <w:rPr>
          <w:rFonts w:hint="eastAsia" w:asciiTheme="minorEastAsia" w:hAnsiTheme="minorEastAsia" w:eastAsiaTheme="minorEastAsia" w:cstheme="minorEastAsia"/>
          <w:kern w:val="2"/>
          <w:sz w:val="24"/>
          <w:szCs w:val="24"/>
          <w:lang w:val="en-US" w:eastAsia="zh-CN" w:bidi="ar-SA"/>
        </w:rPr>
        <w:t>mm</w:t>
      </w:r>
      <w:r>
        <w:rPr>
          <w:rFonts w:hint="eastAsia" w:asciiTheme="minorEastAsia" w:hAnsiTheme="minorEastAsia" w:cstheme="minorEastAsia"/>
          <w:kern w:val="2"/>
          <w:sz w:val="24"/>
          <w:szCs w:val="24"/>
          <w:lang w:val="en-US" w:eastAsia="zh-CN" w:bidi="ar-SA"/>
        </w:rPr>
        <w:t>，</w:t>
      </w:r>
      <w:r>
        <w:rPr>
          <w:rFonts w:hint="eastAsia" w:asciiTheme="minorEastAsia" w:hAnsiTheme="minorEastAsia" w:eastAsiaTheme="minorEastAsia" w:cstheme="minorEastAsia"/>
          <w:kern w:val="2"/>
          <w:sz w:val="24"/>
          <w:szCs w:val="24"/>
          <w:lang w:val="en-US" w:eastAsia="zh-CN" w:bidi="ar-SA"/>
        </w:rPr>
        <w:t>高≥20</w:t>
      </w:r>
      <w:r>
        <w:rPr>
          <w:rFonts w:hint="eastAsia" w:asciiTheme="minorEastAsia" w:hAnsiTheme="minorEastAsia" w:cstheme="minorEastAsia"/>
          <w:kern w:val="2"/>
          <w:sz w:val="24"/>
          <w:szCs w:val="24"/>
          <w:lang w:val="en-US" w:eastAsia="zh-CN" w:bidi="ar-SA"/>
        </w:rPr>
        <w:t>00</w:t>
      </w:r>
      <w:r>
        <w:rPr>
          <w:rFonts w:hint="eastAsia" w:asciiTheme="minorEastAsia" w:hAnsiTheme="minorEastAsia" w:eastAsiaTheme="minorEastAsia" w:cstheme="minorEastAsia"/>
          <w:kern w:val="2"/>
          <w:sz w:val="24"/>
          <w:szCs w:val="24"/>
          <w:lang w:val="en-US" w:eastAsia="zh-CN" w:bidi="ar-SA"/>
        </w:rPr>
        <w:t>mm，允差±50mm；</w:t>
      </w:r>
    </w:p>
    <w:p w14:paraId="6BA61EC7">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2、床体尺寸：长≥17</w:t>
      </w:r>
      <w:r>
        <w:rPr>
          <w:rFonts w:hint="eastAsia" w:asciiTheme="minorEastAsia" w:hAnsiTheme="minorEastAsia" w:cstheme="minorEastAsia"/>
          <w:kern w:val="2"/>
          <w:sz w:val="24"/>
          <w:szCs w:val="24"/>
          <w:lang w:val="en-US" w:eastAsia="zh-CN" w:bidi="ar-SA"/>
        </w:rPr>
        <w:t>00</w:t>
      </w:r>
      <w:r>
        <w:rPr>
          <w:rFonts w:hint="eastAsia" w:asciiTheme="minorEastAsia" w:hAnsiTheme="minorEastAsia" w:eastAsiaTheme="minorEastAsia" w:cstheme="minorEastAsia"/>
          <w:kern w:val="2"/>
          <w:sz w:val="24"/>
          <w:szCs w:val="24"/>
          <w:lang w:val="en-US" w:eastAsia="zh-CN" w:bidi="ar-SA"/>
        </w:rPr>
        <w:t>mm</w:t>
      </w:r>
      <w:r>
        <w:rPr>
          <w:rFonts w:hint="eastAsia" w:asciiTheme="minorEastAsia" w:hAnsiTheme="minorEastAsia" w:cstheme="minorEastAsia"/>
          <w:kern w:val="2"/>
          <w:sz w:val="24"/>
          <w:szCs w:val="24"/>
          <w:lang w:val="en-US" w:eastAsia="zh-CN" w:bidi="ar-SA"/>
        </w:rPr>
        <w:t>，</w:t>
      </w:r>
      <w:r>
        <w:rPr>
          <w:rFonts w:hint="eastAsia" w:asciiTheme="minorEastAsia" w:hAnsiTheme="minorEastAsia" w:eastAsiaTheme="minorEastAsia" w:cstheme="minorEastAsia"/>
          <w:kern w:val="2"/>
          <w:sz w:val="24"/>
          <w:szCs w:val="24"/>
          <w:lang w:val="en-US" w:eastAsia="zh-CN" w:bidi="ar-SA"/>
        </w:rPr>
        <w:t>宽≥6</w:t>
      </w:r>
      <w:r>
        <w:rPr>
          <w:rFonts w:hint="eastAsia" w:asciiTheme="minorEastAsia" w:hAnsiTheme="minorEastAsia" w:cstheme="minorEastAsia"/>
          <w:kern w:val="2"/>
          <w:sz w:val="24"/>
          <w:szCs w:val="24"/>
          <w:lang w:val="en-US" w:eastAsia="zh-CN" w:bidi="ar-SA"/>
        </w:rPr>
        <w:t>00</w:t>
      </w:r>
      <w:r>
        <w:rPr>
          <w:rFonts w:hint="eastAsia" w:asciiTheme="minorEastAsia" w:hAnsiTheme="minorEastAsia" w:eastAsiaTheme="minorEastAsia" w:cstheme="minorEastAsia"/>
          <w:kern w:val="2"/>
          <w:sz w:val="24"/>
          <w:szCs w:val="24"/>
          <w:lang w:val="en-US" w:eastAsia="zh-CN" w:bidi="ar-SA"/>
        </w:rPr>
        <w:t>mm，允差±50mm；</w:t>
      </w:r>
    </w:p>
    <w:p w14:paraId="6424612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★3、床体站立角度调节功能，通过手控器电动控制站立角度，站立角度范围：0º～90º±3º，连续可调；</w:t>
      </w:r>
    </w:p>
    <w:p w14:paraId="4408145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4、辅助升降台最大承重≥20kg；</w:t>
      </w:r>
    </w:p>
    <w:p w14:paraId="22096FB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5、辅助升降台手动调节范围为0～460mm，允差士50mm；</w:t>
      </w:r>
    </w:p>
    <w:p w14:paraId="135F9CA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6、脚踏板调节功能：通过手动装置对脚踏板进行站立时踝关节内/外侧和背屈/跖屈角度调节，调节范围-30°～30°，允差士3°；</w:t>
      </w:r>
    </w:p>
    <w:p w14:paraId="70F8EDFF">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7、具有活动脚轮和固定脚装置。在平坦地面上放置时，活动脚轮应同时着地并具有锁止装置；使用固定脚后，活动脚轮升起，固定脚着地，在地面上放置稳定；</w:t>
      </w:r>
    </w:p>
    <w:p w14:paraId="64866A7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★8、具有紧急停止功能，按下紧急开关按钮，设备立即停止工作；</w:t>
      </w:r>
    </w:p>
    <w:p w14:paraId="56132FA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9、安全工作载荷：≥170kg；</w:t>
      </w:r>
    </w:p>
    <w:p w14:paraId="6B22FD19">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10、安全工作载荷时的运动噪音≤55dB(A)。</w:t>
      </w:r>
    </w:p>
    <w:p w14:paraId="20D5B249">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功能要求</w:t>
      </w:r>
    </w:p>
    <w:p w14:paraId="744804A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1、电动调节：采用电动调节系统，通过手控器轻松调节床体角度，操作便捷且省力；</w:t>
      </w:r>
    </w:p>
    <w:p w14:paraId="5EE25CE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2、渐进式训练：逐步增加站立角度（从倾斜角度到完全直立），帮助患者适应直立状态，减少头晕或其他不适感；</w:t>
      </w:r>
    </w:p>
    <w:p w14:paraId="47B3E40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3、多重安全保护装置：紧急停止按钮、点动控制操控系统、防跌倒装置等；</w:t>
      </w:r>
    </w:p>
    <w:p w14:paraId="10A44CC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4、床垫采用高密度海绵质，提供良好的支撑性和舒适性；床体采用高强度钢材和耐用塑料，确保设备的稳定性和使用寿命；</w:t>
      </w:r>
    </w:p>
    <w:p w14:paraId="2230286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5、可拆卸装置：部分部件（如绑带、辅助升降台）支持拆卸，便于清洁和维护；</w:t>
      </w:r>
    </w:p>
    <w:p w14:paraId="40D922D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6、人体工学设计：辅助升降台调节位置可根据患者身高进行调节，确保患者在使用过程中保持自然舒适的姿势；</w:t>
      </w:r>
    </w:p>
    <w:p w14:paraId="6E646A5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7、低噪音设计：电动驱动系统运行时噪音低，不会对患者或周围环境造成干扰；</w:t>
      </w:r>
    </w:p>
    <w:p w14:paraId="40085E6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8、易于维护：设备结构设计简洁，日常清洁和维护方便快捷；</w:t>
      </w:r>
    </w:p>
    <w:p w14:paraId="4C5ADF8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9、适用性强：广泛适用人群，灵活的应用场景，满足不同场所的康复需求。</w:t>
      </w:r>
    </w:p>
    <w:p w14:paraId="236FA80A">
      <w:pPr>
        <w:numPr>
          <w:ilvl w:val="0"/>
          <w:numId w:val="0"/>
        </w:numPr>
        <w:rPr>
          <w:rFonts w:hint="eastAsia" w:asciiTheme="minorEastAsia" w:hAnsiTheme="minorEastAsia" w:eastAsiaTheme="minorEastAsia" w:cstheme="minorEastAsia"/>
          <w:kern w:val="2"/>
          <w:sz w:val="24"/>
          <w:szCs w:val="24"/>
          <w:lang w:val="en-US" w:eastAsia="zh-CN" w:bidi="ar-SA"/>
        </w:rPr>
      </w:pPr>
    </w:p>
    <w:p w14:paraId="127CDE6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（三）下肢持续被动活动仪</w:t>
      </w:r>
    </w:p>
    <w:p w14:paraId="6B34225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技术参数要求：</w:t>
      </w:r>
    </w:p>
    <w:p w14:paraId="4253994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★1、活动范围：</w:t>
      </w:r>
    </w:p>
    <w:p w14:paraId="19E5F105">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a)膝关节屈伸：-10°-135°，步进1°，允差±5°；</w:t>
      </w:r>
    </w:p>
    <w:p w14:paraId="3A715A8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b)髋关节屈伸：5°～100°，允差±5°；</w:t>
      </w:r>
    </w:p>
    <w:p w14:paraId="058E26FC">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c)踝关节背屈跖屈：-25°～30°，允差±5°。</w:t>
      </w:r>
    </w:p>
    <w:p w14:paraId="71D30DB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2、运动速度：35°/min-170°/min，10档可调节，每档步进为15°/min，允差±10%</w:t>
      </w:r>
    </w:p>
    <w:p w14:paraId="5B5109D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3、大腿、小腿可调节长度：0-19cm，最大值允差±10%</w:t>
      </w:r>
    </w:p>
    <w:p w14:paraId="0B0184D9">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4、训练时间可设置：10～120min，步进10min,允差±10s</w:t>
      </w:r>
    </w:p>
    <w:p w14:paraId="462CBC1F">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5、</w:t>
      </w:r>
      <w:r>
        <w:rPr>
          <w:rFonts w:hint="eastAsia" w:asciiTheme="minorEastAsia" w:hAnsiTheme="minorEastAsia" w:eastAsiaTheme="minorEastAsia" w:cstheme="minorEastAsia"/>
          <w:kern w:val="2"/>
          <w:sz w:val="24"/>
          <w:szCs w:val="24"/>
          <w:lang w:val="en-US" w:eastAsia="zh-CN" w:bidi="ar-SA"/>
        </w:rPr>
        <w:t>髋关节、膝关节和踝关节被动运动同步进行；</w:t>
      </w:r>
    </w:p>
    <w:p w14:paraId="4F6E2F8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★6、</w:t>
      </w:r>
      <w:r>
        <w:rPr>
          <w:rFonts w:hint="eastAsia" w:asciiTheme="minorEastAsia" w:hAnsiTheme="minorEastAsia" w:eastAsiaTheme="minorEastAsia" w:cstheme="minorEastAsia"/>
          <w:kern w:val="2"/>
          <w:sz w:val="24"/>
          <w:szCs w:val="24"/>
          <w:lang w:val="en-US" w:eastAsia="zh-CN" w:bidi="ar-SA"/>
        </w:rPr>
        <w:t>训练暂停功能；可设置屈曲和伸展运动末期运动暂停时间，范围：0～30s，步进1s,允差±1s。</w:t>
      </w:r>
    </w:p>
    <w:p w14:paraId="4C9CABBC">
      <w:pPr>
        <w:numPr>
          <w:ilvl w:val="0"/>
          <w:numId w:val="3"/>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热身模式：角度循环递增，增加患者被动运动的适应性；</w:t>
      </w:r>
    </w:p>
    <w:p w14:paraId="4EAF9E77">
      <w:pPr>
        <w:numPr>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bookmarkStart w:id="0" w:name="_GoBack"/>
      <w:bookmarkEnd w:id="0"/>
    </w:p>
    <w:p w14:paraId="4C76C47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五、服务要求 </w:t>
      </w:r>
    </w:p>
    <w:p w14:paraId="0B1BF16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 整机含所有易耗件自验收合格之日起原厂保修≥2年；终身免费提供维修密码或密码相关物理媒介；设备终身提供维修，软件终身免费升级，快速修复时间（最长三天）承诺，否则提供备用机；以上须提供相应的原厂书面保修承诺；投标商在投标文件中说明在保质期内提供的服务计划。</w:t>
      </w:r>
    </w:p>
    <w:p w14:paraId="5FD83477">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 保修期内7×24小时技术及服务响应，响应时间小于2小时，到达现场时间小于24小时，48小时以内解决故障。保修期自验收合格之日起计算。保修期内故障率不得超过每年18天，故障时间每超过一天质保期相应延长5天。保修期内因设备本身缺陷造成各种故障应由卖方免费技术服务和维修。</w:t>
      </w:r>
    </w:p>
    <w:p w14:paraId="641963A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3. 保修期内每年对设备维护≥4次，每年免费提供设备校准服务不少于1次。保修期内由生产厂家负责技术和保养培训，承担售后服务和年度校准，并出具相关材料。 </w:t>
      </w:r>
    </w:p>
    <w:p w14:paraId="67A2A52F">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 投标人须提供所投产品生产厂家服务机构情况，包括地址、联系方式及技术人员数量等。</w:t>
      </w:r>
    </w:p>
    <w:p w14:paraId="15C5127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 提供原厂标准的易耗品、消耗材料价格清单及折扣率，保修期后设备维修的价格清单及折扣率。</w:t>
      </w:r>
    </w:p>
    <w:p w14:paraId="6AD51FA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 提供现场技术培训。</w:t>
      </w:r>
    </w:p>
    <w:p w14:paraId="65630356">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 卖方应对用户的维修人员提供培训，使其能对设备进行日常的维护保养及能对一般故障进行维修，并向培训人员提供维修图纸及维修手册、维修密码及软件备份。</w:t>
      </w:r>
    </w:p>
    <w:p w14:paraId="53A9CC1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 安装标准：符合我国国家有关技术规范要求和技术标准。安装过程中发生的费用由卖方负责。</w:t>
      </w:r>
    </w:p>
    <w:p w14:paraId="5E72307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 交货期：合同签订日起15日历天。</w:t>
      </w:r>
    </w:p>
    <w:p w14:paraId="20E78D76">
      <w:pPr>
        <w:autoSpaceDE w:val="0"/>
        <w:autoSpaceDN w:val="0"/>
        <w:adjustRightInd w:val="0"/>
        <w:spacing w:line="360" w:lineRule="auto"/>
        <w:rPr>
          <w:rFonts w:hint="eastAsia" w:ascii="微软雅黑" w:hAnsi="微软雅黑" w:eastAsia="微软雅黑" w:cs="微软雅黑"/>
          <w:i w:val="0"/>
          <w:iCs w:val="0"/>
          <w:caps w:val="0"/>
          <w:color w:val="383838"/>
          <w:spacing w:val="0"/>
          <w:sz w:val="24"/>
          <w:szCs w:val="24"/>
          <w:shd w:val="clear" w:fill="FFFFFF"/>
          <w:lang w:val="en-US" w:eastAsia="zh-CN"/>
        </w:rPr>
      </w:pPr>
      <w:r>
        <w:rPr>
          <w:rFonts w:hint="eastAsia" w:asciiTheme="minorEastAsia" w:hAnsiTheme="minorEastAsia" w:eastAsiaTheme="minorEastAsia" w:cstheme="minorEastAsia"/>
          <w:kern w:val="2"/>
          <w:sz w:val="24"/>
          <w:szCs w:val="24"/>
          <w:lang w:val="en-US" w:eastAsia="zh-CN" w:bidi="ar-SA"/>
        </w:rPr>
        <w:t>★10. 交货与实际投标参数不符的，买方可要求退货，并且卖方须向买方支付合同价格三倍金额的赔偿。</w:t>
      </w:r>
    </w:p>
    <w:p w14:paraId="54F606F7">
      <w:pPr>
        <w:pStyle w:val="6"/>
        <w:numPr>
          <w:ilvl w:val="0"/>
          <w:numId w:val="0"/>
        </w:numPr>
        <w:ind w:leftChars="0"/>
        <w:rPr>
          <w:rFonts w:hint="eastAsia" w:cs="宋体" w:eastAsiaTheme="minorHAnsi"/>
          <w:kern w:val="0"/>
          <w:sz w:val="24"/>
          <w:szCs w:val="24"/>
        </w:rPr>
      </w:pPr>
      <w:r>
        <w:rPr>
          <w:rFonts w:hint="eastAsia" w:cs="宋体" w:eastAsiaTheme="minorHAnsi"/>
          <w:kern w:val="0"/>
          <w:sz w:val="24"/>
          <w:szCs w:val="24"/>
          <w:lang w:val="en-US" w:eastAsia="zh-CN"/>
        </w:rPr>
        <w:t xml:space="preserve">     </w:t>
      </w:r>
    </w:p>
    <w:p w14:paraId="1D93EFA6"/>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1315E">
    <w:pPr>
      <w:pStyle w:val="2"/>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87D16"/>
    <w:multiLevelType w:val="singleLevel"/>
    <w:tmpl w:val="96187D16"/>
    <w:lvl w:ilvl="0" w:tentative="0">
      <w:start w:val="1"/>
      <w:numFmt w:val="decimal"/>
      <w:suff w:val="nothing"/>
      <w:lvlText w:val="%1、"/>
      <w:lvlJc w:val="left"/>
    </w:lvl>
  </w:abstractNum>
  <w:abstractNum w:abstractNumId="1">
    <w:nsid w:val="1B7CC324"/>
    <w:multiLevelType w:val="singleLevel"/>
    <w:tmpl w:val="1B7CC324"/>
    <w:lvl w:ilvl="0" w:tentative="0">
      <w:start w:val="7"/>
      <w:numFmt w:val="decimal"/>
      <w:suff w:val="nothing"/>
      <w:lvlText w:val="%1、"/>
      <w:lvlJc w:val="left"/>
    </w:lvl>
  </w:abstractNum>
  <w:abstractNum w:abstractNumId="2">
    <w:nsid w:val="7A90D3FE"/>
    <w:multiLevelType w:val="singleLevel"/>
    <w:tmpl w:val="7A90D3FE"/>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FA0231"/>
    <w:rsid w:val="22E81A3F"/>
    <w:rsid w:val="37A01FB3"/>
    <w:rsid w:val="3A77735F"/>
    <w:rsid w:val="43986CAD"/>
    <w:rsid w:val="4E813041"/>
    <w:rsid w:val="55891CFF"/>
    <w:rsid w:val="72E73959"/>
    <w:rsid w:val="7D836D7A"/>
    <w:rsid w:val="7EFA0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3">
    <w:name w:val="Title"/>
    <w:basedOn w:val="1"/>
    <w:next w:val="1"/>
    <w:qFormat/>
    <w:uiPriority w:val="0"/>
    <w:pPr>
      <w:spacing w:before="240" w:after="60"/>
      <w:jc w:val="center"/>
      <w:outlineLvl w:val="0"/>
    </w:pPr>
    <w:rPr>
      <w:rFonts w:ascii="Cambria" w:hAnsi="Cambria" w:cs="Times New Roman"/>
      <w:b/>
      <w:bCs/>
      <w:sz w:val="32"/>
      <w:szCs w:val="32"/>
    </w:rPr>
  </w:style>
  <w:style w:type="paragraph" w:styleId="6">
    <w:name w:val="List Paragraph"/>
    <w:basedOn w:val="1"/>
    <w:qFormat/>
    <w:uiPriority w:val="34"/>
    <w:pPr>
      <w:ind w:firstLine="420" w:firstLineChars="200"/>
    </w:pPr>
  </w:style>
  <w:style w:type="paragraph" w:customStyle="1" w:styleId="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
    <w:name w:val="Default"/>
    <w:basedOn w:val="3"/>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2974</Words>
  <Characters>3212</Characters>
  <Lines>0</Lines>
  <Paragraphs>0</Paragraphs>
  <TotalTime>385</TotalTime>
  <ScaleCrop>false</ScaleCrop>
  <LinksUpToDate>false</LinksUpToDate>
  <CharactersWithSpaces>3233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2025-10-14T02:09:00Z</dcterms:created>
  <dc:creator>朱文龙</dc:creator>
  <cp:lastModifiedBy>朱文龙</cp:lastModifiedBy>
  <dcterms:modified xsi:type="dcterms:W3CDTF">2025-11-18T06:45:21Z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99E0DC0B69BA4968B8BFEBDC478976A8_11</vt:lpwstr>
  </property>
  <property fmtid="{D5CDD505-2E9C-101B-9397-08002B2CF9AE}" pid="4" name="KSOTemplateDocerSaveRecord">
    <vt:lpwstr>eyJoZGlkIjoiOGRkZGJjODE3MDkwOTUyOWE5NzgzNDMwZDdhMDhhYmMiLCJ1c2VySWQiOiIxNjc4MzkzOTE2In0=</vt:lpwstr>
  </property>
</Properties>
</file>